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97"/>
        </w:tabs>
        <w:spacing w:line="940" w:lineRule="exact"/>
        <w:ind w:left="283" w:leftChars="135" w:right="225" w:rightChars="107"/>
        <w:jc w:val="distribute"/>
        <w:rPr>
          <w:rFonts w:hint="eastAsia" w:ascii="宋体" w:hAnsi="宋体"/>
          <w:b/>
          <w:bCs/>
          <w:color w:val="FF0000"/>
          <w:w w:val="50"/>
          <w:sz w:val="90"/>
          <w:szCs w:val="96"/>
        </w:rPr>
      </w:pPr>
    </w:p>
    <w:p>
      <w:pPr>
        <w:tabs>
          <w:tab w:val="left" w:pos="7797"/>
        </w:tabs>
        <w:spacing w:line="940" w:lineRule="exact"/>
        <w:ind w:left="283" w:leftChars="135" w:right="225" w:rightChars="107"/>
        <w:jc w:val="distribute"/>
        <w:rPr>
          <w:rFonts w:hint="eastAsia" w:ascii="宋体" w:hAnsi="宋体"/>
          <w:b/>
          <w:bCs/>
          <w:color w:val="FFFFFF" w:themeColor="background1"/>
          <w:w w:val="50"/>
          <w:sz w:val="90"/>
          <w:szCs w:val="96"/>
          <w14:textFill>
            <w14:solidFill>
              <w14:schemeClr w14:val="bg1"/>
            </w14:solidFill>
          </w14:textFill>
        </w:rPr>
      </w:pPr>
      <w:r>
        <w:rPr>
          <w:rFonts w:hint="eastAsia" w:ascii="宋体" w:hAnsi="宋体"/>
          <w:b/>
          <w:bCs/>
          <w:color w:val="FFFFFF" w:themeColor="background1"/>
          <w:w w:val="50"/>
          <w:sz w:val="90"/>
          <w:szCs w:val="96"/>
          <w14:textFill>
            <w14:solidFill>
              <w14:schemeClr w14:val="bg1"/>
            </w14:solidFill>
          </w14:textFill>
        </w:rPr>
        <w:t>中共</w:t>
      </w:r>
      <w:r>
        <w:rPr>
          <w:rFonts w:hint="eastAsia" w:ascii="宋体" w:hAnsi="宋体" w:cs="宋体"/>
          <w:b/>
          <w:bCs/>
          <w:color w:val="FFFFFF" w:themeColor="background1"/>
          <w:w w:val="50"/>
          <w:sz w:val="90"/>
          <w:szCs w:val="96"/>
          <w14:textFill>
            <w14:solidFill>
              <w14:schemeClr w14:val="bg1"/>
            </w14:solidFill>
          </w14:textFill>
        </w:rPr>
        <w:t>武昌首义学院</w:t>
      </w:r>
      <w:r>
        <w:rPr>
          <w:rFonts w:hint="eastAsia" w:ascii="宋体" w:hAnsi="宋体"/>
          <w:b/>
          <w:bCs/>
          <w:color w:val="FFFFFF" w:themeColor="background1"/>
          <w:w w:val="50"/>
          <w:sz w:val="90"/>
          <w:szCs w:val="96"/>
          <w14:textFill>
            <w14:solidFill>
              <w14:schemeClr w14:val="bg1"/>
            </w14:solidFill>
          </w14:textFill>
        </w:rPr>
        <w:t>委员会文件</w:t>
      </w:r>
    </w:p>
    <w:p>
      <w:pPr>
        <w:spacing w:line="360" w:lineRule="exact"/>
        <w:jc w:val="center"/>
        <w:rPr>
          <w:rFonts w:hint="eastAsia" w:ascii="仿宋_GB2312" w:eastAsia="仿宋_GB2312"/>
          <w:b/>
          <w:bCs/>
          <w:sz w:val="30"/>
          <w:szCs w:val="30"/>
        </w:rPr>
      </w:pPr>
    </w:p>
    <w:p>
      <w:pPr>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院党</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2020</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44</w:t>
      </w:r>
      <w:r>
        <w:rPr>
          <w:rFonts w:hint="eastAsia" w:ascii="仿宋_GB2312" w:hAnsi="宋体" w:eastAsia="仿宋_GB2312" w:cs="宋体"/>
          <w:color w:val="000000"/>
          <w:kern w:val="0"/>
          <w:sz w:val="32"/>
          <w:szCs w:val="32"/>
        </w:rPr>
        <w:t>号</w:t>
      </w:r>
    </w:p>
    <w:p>
      <w:pPr>
        <w:spacing w:line="360" w:lineRule="exact"/>
        <w:jc w:val="center"/>
        <w:rPr>
          <w:rFonts w:hint="eastAsia" w:ascii="仿宋_GB2312" w:eastAsia="仿宋_GB2312"/>
          <w:b/>
          <w:bCs/>
          <w:sz w:val="30"/>
          <w:szCs w:val="30"/>
        </w:rPr>
      </w:pPr>
    </w:p>
    <w:p>
      <w:pPr>
        <w:widowControl/>
        <w:spacing w:line="520" w:lineRule="exact"/>
        <w:jc w:val="center"/>
        <w:rPr>
          <w:rFonts w:hint="eastAsia" w:ascii="方正小标宋简体" w:eastAsia="方正小标宋简体"/>
          <w:sz w:val="44"/>
          <w:szCs w:val="44"/>
        </w:rPr>
      </w:pPr>
    </w:p>
    <w:p>
      <w:pPr>
        <w:keepNext/>
        <w:keepLines/>
        <w:pageBreakBefore w:val="0"/>
        <w:widowControl w:val="0"/>
        <w:numPr>
          <w:ilvl w:val="0"/>
          <w:numId w:val="0"/>
        </w:numPr>
        <w:kinsoku/>
        <w:wordWrap/>
        <w:overflowPunct/>
        <w:topLinePunct w:val="0"/>
        <w:bidi w:val="0"/>
        <w:adjustRightInd/>
        <w:snapToGrid/>
        <w:spacing w:before="0" w:after="0" w:line="480" w:lineRule="exact"/>
        <w:ind w:firstLine="0" w:firstLineChars="0"/>
        <w:jc w:val="center"/>
        <w:textAlignment w:val="auto"/>
        <w:outlineLvl w:val="0"/>
        <w:rPr>
          <w:rFonts w:hint="eastAsia" w:ascii="方正小标宋简体" w:hAnsi="方正小标宋简体" w:eastAsia="方正小标宋简体" w:cs="方正小标宋简体"/>
          <w:b w:val="0"/>
          <w:kern w:val="0"/>
          <w:sz w:val="44"/>
          <w:szCs w:val="44"/>
          <w:lang w:val="en-US" w:eastAsia="zh-CN" w:bidi="ar"/>
        </w:rPr>
      </w:pPr>
      <w:bookmarkStart w:id="0" w:name="_Toc25276"/>
      <w:bookmarkStart w:id="1" w:name="_Toc18001"/>
    </w:p>
    <w:bookmarkEnd w:id="0"/>
    <w:bookmarkEnd w:id="1"/>
    <w:p>
      <w:pPr>
        <w:keepNext/>
        <w:keepLines/>
        <w:pageBreakBefore w:val="0"/>
        <w:widowControl w:val="0"/>
        <w:numPr>
          <w:ilvl w:val="0"/>
          <w:numId w:val="0"/>
        </w:numPr>
        <w:kinsoku/>
        <w:wordWrap/>
        <w:overflowPunct/>
        <w:topLinePunct w:val="0"/>
        <w:bidi w:val="0"/>
        <w:adjustRightInd/>
        <w:snapToGrid/>
        <w:spacing w:before="0" w:after="0" w:line="480" w:lineRule="exact"/>
        <w:ind w:firstLine="0" w:firstLineChars="0"/>
        <w:jc w:val="center"/>
        <w:textAlignment w:val="auto"/>
        <w:outlineLvl w:val="0"/>
        <w:rPr>
          <w:rFonts w:hint="eastAsia" w:ascii="方正小标宋简体" w:hAnsi="方正小标宋简体" w:eastAsia="方正小标宋简体" w:cs="方正小标宋简体"/>
          <w:b w:val="0"/>
          <w:kern w:val="0"/>
          <w:sz w:val="44"/>
          <w:szCs w:val="44"/>
          <w:lang w:val="en-US" w:eastAsia="zh-CN" w:bidi="ar"/>
        </w:rPr>
      </w:pPr>
      <w:bookmarkStart w:id="2" w:name="_Toc4438"/>
      <w:bookmarkStart w:id="3" w:name="_Toc20857"/>
      <w:r>
        <w:rPr>
          <w:rFonts w:hint="eastAsia" w:ascii="方正小标宋简体" w:hAnsi="方正小标宋简体" w:eastAsia="方正小标宋简体" w:cs="方正小标宋简体"/>
          <w:b w:val="0"/>
          <w:kern w:val="0"/>
          <w:sz w:val="44"/>
          <w:szCs w:val="44"/>
          <w:lang w:val="en-US" w:eastAsia="zh-CN" w:bidi="ar"/>
        </w:rPr>
        <w:t>武昌首义学院教职工代表大会</w:t>
      </w:r>
    </w:p>
    <w:p>
      <w:pPr>
        <w:keepNext/>
        <w:keepLines/>
        <w:pageBreakBefore w:val="0"/>
        <w:widowControl w:val="0"/>
        <w:numPr>
          <w:ilvl w:val="0"/>
          <w:numId w:val="0"/>
        </w:numPr>
        <w:kinsoku/>
        <w:wordWrap/>
        <w:overflowPunct/>
        <w:topLinePunct w:val="0"/>
        <w:bidi w:val="0"/>
        <w:adjustRightInd/>
        <w:snapToGrid/>
        <w:spacing w:before="0" w:after="0" w:line="480" w:lineRule="exact"/>
        <w:ind w:firstLine="0" w:firstLineChars="0"/>
        <w:jc w:val="center"/>
        <w:textAlignment w:val="auto"/>
        <w:outlineLvl w:val="0"/>
        <w:rPr>
          <w:rFonts w:hint="eastAsia" w:ascii="方正小标宋简体" w:hAnsi="方正小标宋简体" w:eastAsia="方正小标宋简体" w:cs="方正小标宋简体"/>
          <w:b w:val="0"/>
          <w:kern w:val="0"/>
          <w:sz w:val="44"/>
          <w:szCs w:val="44"/>
          <w:lang w:val="en-US" w:eastAsia="zh-CN" w:bidi="ar"/>
        </w:rPr>
      </w:pPr>
      <w:r>
        <w:rPr>
          <w:rFonts w:hint="eastAsia" w:ascii="方正小标宋简体" w:hAnsi="方正小标宋简体" w:eastAsia="方正小标宋简体" w:cs="方正小标宋简体"/>
          <w:b w:val="0"/>
          <w:kern w:val="0"/>
          <w:sz w:val="44"/>
          <w:szCs w:val="44"/>
          <w:lang w:val="en-US" w:eastAsia="zh-CN" w:bidi="ar"/>
        </w:rPr>
        <w:t>提案工作规定</w:t>
      </w:r>
      <w:bookmarkEnd w:id="2"/>
      <w:bookmarkEnd w:id="3"/>
    </w:p>
    <w:p>
      <w:pPr>
        <w:pageBreakBefore w:val="0"/>
        <w:kinsoku/>
        <w:wordWrap/>
        <w:overflowPunct/>
        <w:topLinePunct w:val="0"/>
        <w:autoSpaceDE/>
        <w:autoSpaceDN/>
        <w:bidi w:val="0"/>
        <w:adjustRightInd/>
        <w:snapToGrid/>
        <w:spacing w:line="500" w:lineRule="exact"/>
        <w:ind w:left="0" w:leftChars="0" w:right="0" w:firstLine="0" w:firstLineChars="0"/>
        <w:textAlignment w:val="auto"/>
        <w:rPr>
          <w:rFonts w:hint="eastAsia"/>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0"/>
        <w:jc w:val="center"/>
        <w:textAlignment w:val="auto"/>
        <w:outlineLvl w:val="0"/>
        <w:rPr>
          <w:rFonts w:hint="eastAsia" w:ascii="仿宋" w:hAnsi="仿宋" w:eastAsia="仿宋" w:cs="仿宋"/>
          <w:sz w:val="32"/>
          <w:szCs w:val="32"/>
        </w:rPr>
      </w:pPr>
      <w:bookmarkStart w:id="4" w:name="_Toc21873"/>
      <w:bookmarkStart w:id="5" w:name="_Toc20565"/>
      <w:bookmarkStart w:id="6" w:name="_Toc24696"/>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bookmarkEnd w:id="4"/>
      <w:bookmarkEnd w:id="5"/>
      <w:bookmarkEnd w:id="6"/>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为了促进我校教职工代表大会（以下简称</w:t>
      </w:r>
      <w:r>
        <w:rPr>
          <w:rFonts w:hint="eastAsia" w:ascii="仿宋" w:hAnsi="仿宋" w:eastAsia="仿宋" w:cs="仿宋"/>
          <w:sz w:val="32"/>
          <w:szCs w:val="32"/>
          <w:lang w:eastAsia="zh-CN"/>
        </w:rPr>
        <w:t>“</w:t>
      </w:r>
      <w:r>
        <w:rPr>
          <w:rFonts w:hint="eastAsia" w:ascii="仿宋" w:hAnsi="仿宋" w:eastAsia="仿宋" w:cs="仿宋"/>
          <w:sz w:val="32"/>
          <w:szCs w:val="32"/>
        </w:rPr>
        <w:t>教代会</w:t>
      </w:r>
      <w:r>
        <w:rPr>
          <w:rFonts w:hint="eastAsia" w:ascii="仿宋" w:hAnsi="仿宋" w:eastAsia="仿宋" w:cs="仿宋"/>
          <w:sz w:val="32"/>
          <w:szCs w:val="32"/>
          <w:lang w:eastAsia="zh-CN"/>
        </w:rPr>
        <w:t>”</w:t>
      </w:r>
      <w:r>
        <w:rPr>
          <w:rFonts w:hint="eastAsia" w:ascii="仿宋" w:hAnsi="仿宋" w:eastAsia="仿宋" w:cs="仿宋"/>
          <w:sz w:val="32"/>
          <w:szCs w:val="32"/>
        </w:rPr>
        <w:t>）提案工作程序化、规范化、制度化建设，根据《学校教职工代表大会规定》（教育部32号令）文件的有关要求，结合我校教代会提案工作实际，特制订本规则。</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提案是教代会代表按照规定程序向教代会提出，经提案工作委员会审查立案后，由学校职能部门承办的书面意见和建议。</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教代会代表向大会提出提案，是教职工行使民主权利、参与学校民主管理和监督的重要形式，有利于维护教职工的合法权益，调动教职工的积极性和创造性，促进学校长远发展。</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center"/>
        <w:textAlignment w:val="auto"/>
        <w:outlineLvl w:val="0"/>
        <w:rPr>
          <w:rFonts w:hint="eastAsia" w:ascii="黑体" w:hAnsi="黑体" w:eastAsia="黑体" w:cs="黑体"/>
          <w:b w:val="0"/>
          <w:bCs w:val="0"/>
          <w:sz w:val="32"/>
          <w:szCs w:val="32"/>
        </w:rPr>
      </w:pPr>
      <w:bookmarkStart w:id="7" w:name="_Toc22912"/>
      <w:bookmarkStart w:id="8" w:name="_Toc23985"/>
      <w:bookmarkStart w:id="9" w:name="_Toc32428"/>
      <w:r>
        <w:rPr>
          <w:rFonts w:hint="eastAsia" w:ascii="黑体" w:hAnsi="黑体" w:eastAsia="黑体" w:cs="黑体"/>
          <w:b w:val="0"/>
          <w:bCs w:val="0"/>
          <w:kern w:val="2"/>
          <w:sz w:val="32"/>
          <w:szCs w:val="32"/>
          <w:lang w:val="en-US" w:eastAsia="zh-CN" w:bidi="ar-SA"/>
        </w:rPr>
        <w:t>第二章  提案工作委员会及其职责</w:t>
      </w:r>
      <w:bookmarkEnd w:id="7"/>
      <w:bookmarkEnd w:id="8"/>
      <w:bookmarkEnd w:id="9"/>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提案工作委员会是教代会下设的提案工作专门机构，由主任、副主任和委员若干人组成。成员一般从教代会代表中产生，由校工会推荐，报学校党委审定。委员会实行常任制，任期与教代会届期相同，可以连选连任。</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提案工作委员会职责</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（一）制订提案工作年度工作计划；</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（二）依照规定的程序，组织、征集提案；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（三）对提案进行审查立案；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（四）确定承办单位并督促检查提案的办理；</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（五）向提案人反馈信息，对提案办理不符合要求的，及时商请承办单位重新办理；</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（六）提案工作的表彰与问责；</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（七）每年向教代会全体会议报告提案工作</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提案工作委员会下设提案工作办公室，作为提案工作委员会的日常办事机构，与工会办公室合署办公。</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center"/>
        <w:textAlignment w:val="auto"/>
        <w:outlineLvl w:val="0"/>
        <w:rPr>
          <w:rFonts w:hint="eastAsia" w:ascii="仿宋" w:hAnsi="仿宋" w:eastAsia="仿宋" w:cs="仿宋"/>
          <w:kern w:val="2"/>
          <w:sz w:val="32"/>
          <w:szCs w:val="32"/>
          <w:lang w:val="en-US" w:eastAsia="zh-CN" w:bidi="ar-SA"/>
        </w:rPr>
      </w:pPr>
      <w:bookmarkStart w:id="10" w:name="_Toc17"/>
      <w:bookmarkStart w:id="11" w:name="_Toc24978"/>
      <w:bookmarkStart w:id="12" w:name="_Toc30267"/>
      <w:r>
        <w:rPr>
          <w:rFonts w:hint="eastAsia" w:ascii="黑体" w:hAnsi="黑体" w:eastAsia="黑体" w:cs="黑体"/>
          <w:b w:val="0"/>
          <w:bCs w:val="0"/>
          <w:kern w:val="2"/>
          <w:sz w:val="32"/>
          <w:szCs w:val="32"/>
          <w:lang w:val="en-US" w:eastAsia="zh-CN" w:bidi="ar-SA"/>
        </w:rPr>
        <w:t>第三章  提案的内容与要求</w:t>
      </w:r>
      <w:bookmarkEnd w:id="10"/>
      <w:bookmarkEnd w:id="11"/>
      <w:bookmarkEnd w:id="12"/>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w:t>
      </w:r>
      <w:r>
        <w:rPr>
          <w:rFonts w:hint="eastAsia" w:ascii="仿宋" w:hAnsi="仿宋" w:eastAsia="仿宋" w:cs="仿宋"/>
          <w:b w:val="0"/>
          <w:bCs w:val="0"/>
          <w:sz w:val="32"/>
          <w:szCs w:val="32"/>
        </w:rPr>
        <w:t>提案的内容</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（一）符合下列相关内容者，可列为提案：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1．关于学校改革、发展和稳定的建议和方案；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2．关于全校师生切身利益的建议和方案；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3．教职工普遍关心的其他重要事项的建议和方案。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（二）下列内容不能列为提案：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1．不在学校职权范围内的问题；</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2．涉及揭发和举报的问题；</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3．涉及民事纠纷或进入刑事、行政诉讼以及仲裁程序的问题；</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4．纯属谋求个人利益的问题；</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属于学术研讨的问题；</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内容空泛、建议笼统的问题。</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w:t>
      </w:r>
      <w:r>
        <w:rPr>
          <w:rFonts w:hint="eastAsia" w:ascii="仿宋" w:hAnsi="仿宋" w:eastAsia="仿宋" w:cs="仿宋"/>
          <w:b w:val="0"/>
          <w:bCs w:val="0"/>
          <w:sz w:val="32"/>
          <w:szCs w:val="32"/>
        </w:rPr>
        <w:t>提案的要求</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提案要求一事一案，须由案名、案由和整改建议及措施三部分构成。</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center"/>
        <w:textAlignment w:val="auto"/>
        <w:outlineLvl w:val="0"/>
        <w:rPr>
          <w:rFonts w:hint="eastAsia" w:ascii="仿宋" w:hAnsi="仿宋" w:eastAsia="仿宋" w:cs="仿宋"/>
          <w:b/>
          <w:bCs/>
          <w:sz w:val="32"/>
          <w:szCs w:val="32"/>
        </w:rPr>
      </w:pPr>
      <w:bookmarkStart w:id="13" w:name="_Toc18574"/>
      <w:bookmarkStart w:id="14" w:name="_Toc25358"/>
      <w:bookmarkStart w:id="15" w:name="_Toc6571"/>
      <w:r>
        <w:rPr>
          <w:rFonts w:hint="eastAsia" w:ascii="黑体" w:hAnsi="黑体" w:eastAsia="黑体" w:cs="黑体"/>
          <w:b w:val="0"/>
          <w:bCs w:val="0"/>
          <w:kern w:val="2"/>
          <w:sz w:val="32"/>
          <w:szCs w:val="32"/>
          <w:lang w:val="en-US" w:eastAsia="zh-CN" w:bidi="ar-SA"/>
        </w:rPr>
        <w:t>第四章  提案的征集与立案</w:t>
      </w:r>
      <w:bookmarkEnd w:id="13"/>
      <w:bookmarkEnd w:id="14"/>
      <w:bookmarkEnd w:id="15"/>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w:t>
      </w:r>
      <w:r>
        <w:rPr>
          <w:rFonts w:hint="eastAsia" w:ascii="仿宋" w:hAnsi="仿宋" w:eastAsia="仿宋" w:cs="仿宋"/>
          <w:b w:val="0"/>
          <w:bCs w:val="0"/>
          <w:sz w:val="32"/>
          <w:szCs w:val="32"/>
        </w:rPr>
        <w:t>提案的征集</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提案的征集采取平时征集与会前集中征集相结合的方式进行。</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w:t>
      </w:r>
      <w:r>
        <w:rPr>
          <w:rFonts w:hint="eastAsia" w:ascii="仿宋" w:hAnsi="仿宋" w:eastAsia="仿宋" w:cs="仿宋"/>
          <w:b w:val="0"/>
          <w:bCs w:val="0"/>
          <w:sz w:val="32"/>
          <w:szCs w:val="32"/>
        </w:rPr>
        <w:t>提案征集时间</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在教代会召开前一至两个月，提案工作委员会召开专题会议，布置提案集中征集工作。</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从布置提案集中征集工作至规定的提案提交截止日（教代会召开的前一天）为集中征集提案时间，其他时间为日常征集提案时间。</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w:t>
      </w:r>
      <w:r>
        <w:rPr>
          <w:rFonts w:hint="eastAsia" w:ascii="仿宋" w:hAnsi="仿宋" w:eastAsia="仿宋" w:cs="仿宋"/>
          <w:b w:val="0"/>
          <w:bCs w:val="0"/>
          <w:sz w:val="32"/>
          <w:szCs w:val="32"/>
        </w:rPr>
        <w:t>提案的立案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（一）提案工作委员会对征集的提案进行集中审查，符合要求或经修改后符合要求的，在签署意见后正式立案，提案工作办公室予以编号、登记造册。</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（二）经审查不予立案的，可根据不同情况退回或作意见、建议处理，作为意见、建议处理的提案由提案工作委员会以适当方式转送有关单位研究、参考，并向提案者说明情况。</w:t>
      </w:r>
      <w:bookmarkStart w:id="16" w:name="_Toc9975"/>
      <w:bookmarkStart w:id="17" w:name="_Toc17480"/>
      <w:bookmarkStart w:id="18" w:name="_Toc9571"/>
    </w:p>
    <w:p>
      <w:pPr>
        <w:keepNext w:val="0"/>
        <w:keepLines w:val="0"/>
        <w:pageBreakBefore w:val="0"/>
        <w:kinsoku/>
        <w:wordWrap/>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lang w:eastAsia="zh-CN"/>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提案的处理与落实</w:t>
      </w:r>
      <w:bookmarkEnd w:id="16"/>
      <w:bookmarkEnd w:id="17"/>
      <w:bookmarkEnd w:id="18"/>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提案工作委员会对提案签署意见后，确定承办单位，将一份提案送达承办单位办理，一份存档备查。</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提案的处理实行职能部门领导承办负责制。由职能部门领导根据国家有关法律、法规及政策和学校有关规定提出处理意见，予以落实和反馈。部门领导无力解决或回答的问题，可提请分管校领导或校长办公会议商议决定。分管校领导要亲自过问、亲自把关、对重点提案要亲自参加办理方案的研究制定，落实专人负责，并在受理承办后30个工作日内作出书面答复。</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提案处理工作要认真负责，实事求是，保证质量。对提案所涉及的问题，凡是有条件解决的，要抓紧解决；因条件所限暂时难以解决的，要列入计划，创造条件逐步解决；确实不能解决的，要据实说明情况，在受理承办后10个工作日内将答复反馈给提案人，并由提案人签署反馈意见后存档备查。</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提案人对办理结果不满意，可向提案工作委员会办公室反馈，提案工作委员会将视情况跟进。如有需要，可建议承办者或承办单位重新研究，作进一步答复。</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在提案办理过程中，提案人可以通过提案工作委员会向承办单位了解有关提案的进展情况。必要时提案工作委员会可邀请承办单位负责人与提案人及其他代表直接交换意见。</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提案工作委员会每年四月、十月集中办理日常征集的提案。</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提案工作委员会利用学校和工会的网络办公平台，加强提案工作信息化建设，公开提案工作制度，公开提案办理过程，公开提案办理结果，增强提案工作透明度，为代表提供信息服务。</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0"/>
        <w:jc w:val="center"/>
        <w:textAlignment w:val="auto"/>
        <w:outlineLvl w:val="0"/>
        <w:rPr>
          <w:rFonts w:hint="eastAsia" w:ascii="黑体" w:hAnsi="黑体" w:eastAsia="黑体" w:cs="黑体"/>
          <w:b w:val="0"/>
          <w:bCs w:val="0"/>
          <w:sz w:val="32"/>
          <w:szCs w:val="32"/>
        </w:rPr>
      </w:pPr>
      <w:bookmarkStart w:id="19" w:name="_Toc767"/>
      <w:bookmarkStart w:id="20" w:name="_Toc10389"/>
      <w:bookmarkStart w:id="21" w:name="_Toc24272"/>
      <w:r>
        <w:rPr>
          <w:rFonts w:hint="eastAsia" w:ascii="黑体" w:hAnsi="黑体" w:eastAsia="黑体" w:cs="黑体"/>
          <w:b w:val="0"/>
          <w:bCs w:val="0"/>
          <w:sz w:val="32"/>
          <w:szCs w:val="32"/>
        </w:rPr>
        <w:t>第六章　提案工作的表彰与问责</w:t>
      </w:r>
      <w:bookmarkEnd w:id="19"/>
      <w:bookmarkEnd w:id="20"/>
      <w:bookmarkEnd w:id="21"/>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为鼓励教代会代表积极为学校改革和发展建言献策，提出高质量的提案，激励提案承办单位认真落实提案，建立优秀提案评选与表彰机制。每届教代会评选一次优秀提案和提案落实先进单位。教代会优秀提案和提案落实先进单位由提案工作委员会负责组织评选，经校工会审定后，予以表彰。</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对因承办不力造成严重后果的承办单位，由校工会上报学校，由学校追究相关单位及其负责人的责任。</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outlineLvl w:val="0"/>
        <w:rPr>
          <w:rFonts w:hint="eastAsia" w:ascii="仿宋" w:hAnsi="仿宋" w:eastAsia="仿宋" w:cs="仿宋"/>
          <w:sz w:val="32"/>
          <w:szCs w:val="32"/>
        </w:rPr>
      </w:pPr>
      <w:bookmarkStart w:id="22" w:name="_Toc3580"/>
      <w:bookmarkStart w:id="23" w:name="_Toc9560"/>
      <w:bookmarkStart w:id="24" w:name="_Toc21154"/>
      <w:r>
        <w:rPr>
          <w:rFonts w:hint="eastAsia" w:ascii="仿宋" w:hAnsi="仿宋" w:eastAsia="仿宋" w:cs="仿宋"/>
          <w:b/>
          <w:bCs/>
          <w:sz w:val="32"/>
          <w:szCs w:val="32"/>
        </w:rPr>
        <w:t>第七章　附则</w:t>
      </w:r>
      <w:bookmarkEnd w:id="22"/>
      <w:bookmarkEnd w:id="23"/>
      <w:bookmarkEnd w:id="24"/>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本规定由教代会审议通过后上报学校党委颁布实施。</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本规则由教代会工作机构校工会负责解释和组织实施。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right="0"/>
        <w:jc w:val="both"/>
        <w:textAlignment w:val="auto"/>
        <w:rPr>
          <w:rFonts w:hint="eastAsia" w:ascii="仿宋" w:hAnsi="仿宋" w:eastAsia="仿宋" w:cs="仿宋"/>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color w:val="333333"/>
          <w:kern w:val="0"/>
          <w:sz w:val="32"/>
          <w:szCs w:val="32"/>
        </w:rPr>
        <w:t xml:space="preserve"> </w:t>
      </w:r>
      <w:r>
        <w:rPr>
          <w:rFonts w:hint="eastAsia" w:ascii="仿宋" w:hAnsi="仿宋" w:eastAsia="仿宋" w:cs="仿宋"/>
          <w:sz w:val="32"/>
          <w:szCs w:val="32"/>
          <w:lang w:eastAsia="zh-CN"/>
        </w:rPr>
        <w:t>武昌首义学院工会委员会</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二〇二〇年十一月十六日</w:t>
      </w: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sz w:val="32"/>
          <w:szCs w:val="32"/>
          <w:lang w:eastAsia="zh-CN"/>
        </w:rPr>
      </w:pPr>
      <w:bookmarkStart w:id="25" w:name="_GoBack"/>
      <w:bookmarkEnd w:id="25"/>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both"/>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right="0" w:firstLine="640" w:firstLineChars="200"/>
        <w:jc w:val="right"/>
        <w:textAlignment w:val="auto"/>
        <w:rPr>
          <w:rFonts w:hint="eastAsia" w:ascii="仿宋" w:hAnsi="仿宋" w:eastAsia="仿宋" w:cs="仿宋"/>
          <w:sz w:val="32"/>
          <w:szCs w:val="32"/>
          <w:lang w:eastAsia="zh-CN"/>
        </w:rPr>
      </w:pPr>
    </w:p>
    <w:p>
      <w:pPr>
        <w:rPr>
          <w:rFonts w:hint="eastAsia"/>
        </w:rPr>
      </w:pPr>
    </w:p>
    <w:p>
      <w:pPr>
        <w:spacing w:line="520" w:lineRule="exact"/>
        <w:ind w:right="-512" w:rightChars="-244" w:firstLine="420" w:firstLineChars="150"/>
        <w:rPr>
          <w:rFonts w:hint="eastAsia" w:ascii="仿宋_GB2312" w:eastAsia="仿宋_GB2312"/>
          <w:bCs/>
          <w:sz w:val="28"/>
          <w:szCs w:val="28"/>
        </w:rPr>
      </w:pPr>
      <w:r>
        <w:rPr>
          <w:rFonts w:hint="eastAsia" w:ascii="仿宋_GB2312" w:hAnsi="宋体" w:eastAsia="仿宋_GB2312"/>
          <w:sz w:val="28"/>
          <w:szCs w:val="28"/>
        </w:rPr>
        <mc:AlternateContent>
          <mc:Choice Requires="wps">
            <w:drawing>
              <wp:anchor distT="0" distB="0" distL="114300" distR="114300" simplePos="0" relativeHeight="251682816" behindDoc="0" locked="0" layoutInCell="1" allowOverlap="1">
                <wp:simplePos x="0" y="0"/>
                <wp:positionH relativeFrom="column">
                  <wp:posOffset>47625</wp:posOffset>
                </wp:positionH>
                <wp:positionV relativeFrom="paragraph">
                  <wp:posOffset>31750</wp:posOffset>
                </wp:positionV>
                <wp:extent cx="51816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1816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2.5pt;height:0pt;width:408pt;z-index:251682816;mso-width-relative:page;mso-height-relative:page;" filled="f" stroked="t" coordsize="21600,21600" o:gfxdata="UEsDBAoAAAAAAIdO4kAAAAAAAAAAAAAAAAAEAAAAZHJzL1BLAwQUAAAACACHTuJAkoN6mdQAAAAF&#10;AQAADwAAAGRycy9kb3ducmV2LnhtbE2PQUvDQBCF74L/YRnBm9202jTEbIqIehEsVrHXaXaaBLOz&#10;Ibtt2n/v2IseP97jzTfF8ug6daAhtJ4NTCcJKOLK25ZrA58fzzcZqBCRLXaeycCJAizLy4sCc+tH&#10;fqfDOtZKRjjkaKCJsc+1DlVDDsPE98SS7fzgMAoOtbYDjjLuOj1LklQ7bFkuNNjTY0PV93rvDGQb&#10;HFdP7UN6V9WbdPd2Wrx8rV6Nub6aJvegIh3jXxl+9UUdSnHa+j3boDoDi7kUDczlIUmz2a3w9sy6&#10;LPR/+/IHUEsDBBQAAAAIAIdO4kBNRalb2gEAAJYDAAAOAAAAZHJzL2Uyb0RvYy54bWytU0uOEzEQ&#10;3SNxB8t70t2jzGjUSmcWE4YNgkjAASq2u9uSf3J50skluAASO1ixZM9tmDkGZSeT4bNBiCwqZVf5&#10;+b3n6sXVzhq2VRG1dx1vZjVnygkvtRs6/u7tzbNLzjCBk2C8Ux3fK+RXy6dPFlNo1ZkfvZEqMgJx&#10;2E6h42NKoa0qFKOygDMflKNi76OFRMs4VDLCROjWVGd1fVFNPsoQvVCItLs6FPmy4Pe9Eul136NK&#10;zHScuKUSY4mbHKvlAtohQhi1ONKAf2BhQTu69AS1ggTsNuo/oKwW0aPv00x4W/m+10IVDaSmqX9T&#10;82aEoIoWMgfDySb8f7Di1XYdmZYdn3PmwNIT3X34+v39p/tvHyneffnM5tmkKWBLvdduHY8rDOuY&#10;Fe/6aPM/aWG7Yuz+ZKzaJSZo87y5bC5q8l881KrHgyFieqG8ZTnpuNEua4YWti8x0WXU+tCSt41j&#10;E7Gdz88JDmhkegOJUhtIBLqhnEVvtLzRxuQTGIfNtYlsC3kIyi9LItxf2vIlK8Dx0FdKh/EYFcjn&#10;TrK0D2SPoznmmYJVkjOjaOxzRoDQJtDmbzrpauOIQXb14GPONl7u6TFuQ9TDSE40hWWu0OMXvsdB&#10;zdP187ogPX5Oy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g3qZ1AAAAAUBAAAPAAAAAAAAAAEA&#10;IAAAACIAAABkcnMvZG93bnJldi54bWxQSwECFAAUAAAACACHTuJATUWpW9oBAACWAwAADgAAAAAA&#10;AAABACAAAAAjAQAAZHJzL2Uyb0RvYy54bWxQSwUGAAAAAAYABgBZAQAAbwUAAAAA&#10;">
                <v:fill on="f" focussize="0,0"/>
                <v:stroke weight="0.35pt" color="#000000" joinstyle="round"/>
                <v:imagedata o:title=""/>
                <o:lock v:ext="edit" aspectratio="f"/>
              </v:line>
            </w:pict>
          </mc:Fallback>
        </mc:AlternateContent>
      </w:r>
      <w:r>
        <w:rPr>
          <w:rFonts w:hint="eastAsia" w:ascii="仿宋_GB2312" w:eastAsia="仿宋_GB2312"/>
          <w:bCs/>
          <w:sz w:val="28"/>
          <w:szCs w:val="28"/>
        </w:rPr>
        <mc:AlternateContent>
          <mc:Choice Requires="wps">
            <w:drawing>
              <wp:anchor distT="0" distB="0" distL="114300" distR="114300" simplePos="0" relativeHeight="251681792" behindDoc="0" locked="0" layoutInCell="1" allowOverlap="1">
                <wp:simplePos x="0" y="0"/>
                <wp:positionH relativeFrom="column">
                  <wp:posOffset>47625</wp:posOffset>
                </wp:positionH>
                <wp:positionV relativeFrom="paragraph">
                  <wp:posOffset>327025</wp:posOffset>
                </wp:positionV>
                <wp:extent cx="51816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1816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25.75pt;height:0pt;width:408pt;z-index:251681792;mso-width-relative:page;mso-height-relative:page;" filled="f" stroked="t" coordsize="21600,21600" o:gfxdata="UEsDBAoAAAAAAIdO4kAAAAAAAAAAAAAAAAAEAAAAZHJzL1BLAwQUAAAACACHTuJA2u8tE9YAAAAH&#10;AQAADwAAAGRycy9kb3ducmV2LnhtbE2OT0/CQBDF7yZ+h82YeJNtUUpTuiXGqBcTiWjgOrRD29id&#10;bboLhW/vGA56mj/v5b1fvjzZTh1p8K1jA/EkAkVcuqrl2sDX58tdCsoH5Ao7x2TgTB6WxfVVjlnl&#10;Rv6g4zrUSkLYZ2igCaHPtPZlQxb9xPXEou3dYDHIOdS6GnCUcNvpaRQl2mLL0tBgT08Nld/rgzWQ&#10;bnFcPbePyUNZb5P9+3n+ulm9GXN7E0cLUIFO4c8Mv/iCDoUw7dyBK686A/OZGA3MYpkip9N7WXaX&#10;hy5y/Z+/+AFQSwMEFAAAAAgAh07iQG+TYYHbAQAAlgMAAA4AAABkcnMvZTJvRG9jLnhtbK1TzW4T&#10;MRC+I/EOlu9kN1UaVatsemgoFwSRgAeY2N5dS/6Tx80mL8ELIHGDE0fuvA3tYzB20pSWC0LsYXbs&#10;GX8z3+fx4nJnDduqiNq7lk8nNWfKCS+161v+4f31iwvOMIGTYLxTLd8r5JfL588WY2jUmR+8kSoy&#10;AnHYjKHlQ0qhqSoUg7KAEx+Uo2Dno4VEy9hXMsJI6NZUZ3U9r0YfZYheKETaXR2CfFnwu06J9Lbr&#10;UCVmWk69pWJjsZtsq+UCmj5CGLQ4tgH/0IUF7ajoCWoFCdhN1H9AWS2iR9+lifC28l2nhSociM20&#10;fsLm3QBBFS4kDoaTTPj/YMWb7ToyLVs+58yBpSu6/fT958cvdz8+k7399pXNs0hjwIZyr9w6HlcY&#10;1jEz3nXR5j9xYbsi7P4krNolJmjzfHoxndekv7iPVQ8HQ8T0SnnLstNyo13mDA1sX2OiYpR6n5K3&#10;jWNjy2ez2TnBAY1MZyCRawORQNeXs+iNltfamHwCY7+5MpFtIQ9B+TIlwn2UlousAIdDXgkdxmNQ&#10;IF86ydI+kDyO5pjnFqySnBlFY589AoQmgTZ/k0mljaMOsqoHHbO38XJPl3ETou4HUmJauswRuvzS&#10;73FQ83T9vi5ID89p+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a7y0T1gAAAAcBAAAPAAAAAAAA&#10;AAEAIAAAACIAAABkcnMvZG93bnJldi54bWxQSwECFAAUAAAACACHTuJAb5NhgdsBAACWAwAADgAA&#10;AAAAAAABACAAAAAlAQAAZHJzL2Uyb0RvYy54bWxQSwUGAAAAAAYABgBZAQAAcgUAAAAA&#10;">
                <v:fill on="f" focussize="0,0"/>
                <v:stroke weight="0.35pt" color="#000000" joinstyle="round"/>
                <v:imagedata o:title=""/>
                <o:lock v:ext="edit" aspectratio="f"/>
              </v:line>
            </w:pict>
          </mc:Fallback>
        </mc:AlternateContent>
      </w:r>
      <w:r>
        <w:rPr>
          <w:rFonts w:hint="eastAsia" w:ascii="仿宋_GB2312" w:eastAsia="仿宋_GB2312"/>
          <w:bCs/>
          <w:sz w:val="28"/>
          <w:szCs w:val="28"/>
        </w:rPr>
        <w:t>武昌首义学院</w:t>
      </w:r>
      <w:r>
        <w:rPr>
          <w:rFonts w:hint="eastAsia" w:ascii="仿宋_GB2312" w:eastAsia="仿宋_GB2312"/>
          <w:bCs/>
          <w:sz w:val="28"/>
          <w:szCs w:val="28"/>
          <w:lang w:eastAsia="zh-CN"/>
        </w:rPr>
        <w:t>党委</w:t>
      </w:r>
      <w:r>
        <w:rPr>
          <w:rFonts w:hint="eastAsia" w:ascii="仿宋_GB2312" w:eastAsia="仿宋_GB2312"/>
          <w:bCs/>
          <w:sz w:val="28"/>
          <w:szCs w:val="28"/>
        </w:rPr>
        <w:t>办公室            2019年</w:t>
      </w:r>
      <w:r>
        <w:rPr>
          <w:rFonts w:hint="eastAsia" w:ascii="仿宋_GB2312" w:eastAsia="仿宋_GB2312"/>
          <w:bCs/>
          <w:sz w:val="28"/>
          <w:szCs w:val="28"/>
          <w:lang w:val="en-US" w:eastAsia="zh-CN"/>
        </w:rPr>
        <w:t>11</w:t>
      </w:r>
      <w:r>
        <w:rPr>
          <w:rFonts w:hint="eastAsia" w:ascii="仿宋_GB2312" w:eastAsia="仿宋_GB2312"/>
          <w:bCs/>
          <w:sz w:val="28"/>
          <w:szCs w:val="28"/>
        </w:rPr>
        <w:t>月</w:t>
      </w:r>
      <w:r>
        <w:rPr>
          <w:rFonts w:hint="eastAsia" w:ascii="仿宋_GB2312" w:eastAsia="仿宋_GB2312"/>
          <w:bCs/>
          <w:sz w:val="28"/>
          <w:szCs w:val="28"/>
          <w:lang w:val="en-US" w:eastAsia="zh-CN"/>
        </w:rPr>
        <w:t>16</w:t>
      </w:r>
      <w:r>
        <w:rPr>
          <w:rFonts w:hint="eastAsia" w:ascii="仿宋_GB2312" w:eastAsia="仿宋_GB2312"/>
          <w:bCs/>
          <w:sz w:val="28"/>
          <w:szCs w:val="28"/>
        </w:rPr>
        <w:t>日印发</w:t>
      </w:r>
    </w:p>
    <w:p>
      <w:pPr>
        <w:ind w:right="-512" w:rightChars="-244" w:firstLine="420" w:firstLineChars="150"/>
        <w:rPr>
          <w:sz w:val="32"/>
          <w:szCs w:val="32"/>
        </w:rPr>
      </w:pPr>
      <w:r>
        <w:rPr>
          <w:rFonts w:hint="eastAsia" w:ascii="仿宋_GB2312" w:eastAsia="仿宋_GB2312"/>
          <w:bCs/>
          <w:sz w:val="28"/>
          <w:szCs w:val="28"/>
        </w:rPr>
        <w:t>主动公开</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- 1 -</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8240;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F7QmRUUAgAAEwQAAA4AAABkcnMvZTJvRG9jLnhtbK1TTY7T&#10;MBTeI3EHy3uatKi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9fT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Jpwn1gAAAAgBAAAPAAAAAAAA&#10;AAEAIAAAACIAAABkcnMvZG93bnJldi54bWxQSwECFAAUAAAACACHTuJAXtCZFRQCAAATBAAADgAA&#10;AAAAAAABACAAAAAlAQAAZHJzL2Uyb0RvYy54bWxQSwUGAAAAAAYABgBZAQAAq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- 1 -</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64809"/>
    <w:rsid w:val="04B40D42"/>
    <w:rsid w:val="0D415826"/>
    <w:rsid w:val="0FA467E1"/>
    <w:rsid w:val="11D1631B"/>
    <w:rsid w:val="29BF07F9"/>
    <w:rsid w:val="2AEB70F9"/>
    <w:rsid w:val="38FF73AD"/>
    <w:rsid w:val="432859E5"/>
    <w:rsid w:val="445D14DE"/>
    <w:rsid w:val="54D768EF"/>
    <w:rsid w:val="6D364809"/>
    <w:rsid w:val="7E7928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2020-08-08T08:51:00Z</dcterms:created>
  <dc:creator>Administrator</dc:creator>
  <cp:lastModifiedBy>陌上千栀</cp:lastModifiedBy>
  <cp:lastPrinted>2020-11-19T01:43:27Z</cp:lastPrinted>
  <dcterms:modified xsi:type="dcterms:W3CDTF">2020-11-19T01:44:13Z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